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07" w:rsidRPr="00F05407" w:rsidRDefault="00A13069" w:rsidP="00F05407">
      <w:pPr>
        <w:rPr>
          <w:b/>
        </w:rPr>
      </w:pPr>
      <w:proofErr w:type="gramStart"/>
      <w:r>
        <w:rPr>
          <w:b/>
        </w:rPr>
        <w:t>UTK</w:t>
      </w:r>
      <w:bookmarkStart w:id="0" w:name="_GoBack"/>
      <w:bookmarkEnd w:id="0"/>
      <w:r>
        <w:rPr>
          <w:b/>
        </w:rPr>
        <w:t>AST :</w:t>
      </w:r>
      <w:proofErr w:type="gramEnd"/>
      <w:r>
        <w:rPr>
          <w:b/>
        </w:rPr>
        <w:t xml:space="preserve">   </w:t>
      </w:r>
      <w:r w:rsidR="00F05407">
        <w:rPr>
          <w:b/>
        </w:rPr>
        <w:t>Avtale om tilbakekjøp fra lebesby kommune til bolig</w:t>
      </w:r>
      <w:r w:rsidR="00F05407" w:rsidRPr="00F05407">
        <w:rPr>
          <w:b/>
        </w:rPr>
        <w:t>bygger</w:t>
      </w:r>
    </w:p>
    <w:p w:rsidR="00F05407" w:rsidRPr="00F05407" w:rsidRDefault="00F05407" w:rsidP="00F05407">
      <w:pPr>
        <w:tabs>
          <w:tab w:val="num" w:pos="737"/>
        </w:tabs>
        <w:rPr>
          <w:b/>
          <w:bCs/>
        </w:rPr>
      </w:pPr>
      <w:r w:rsidRPr="00F05407">
        <w:rPr>
          <w:b/>
          <w:bCs/>
        </w:rPr>
        <w:t>Partene og ikrafttredelse</w:t>
      </w:r>
    </w:p>
    <w:p w:rsidR="00F05407" w:rsidRPr="00F05407" w:rsidRDefault="00F05407" w:rsidP="00F05407">
      <w:r w:rsidRPr="00F05407">
        <w:t>Denne avtalen er inngått [dato] mellom:</w:t>
      </w:r>
    </w:p>
    <w:p w:rsidR="00F05407" w:rsidRPr="00F05407" w:rsidRDefault="00F05407" w:rsidP="00F05407">
      <w:r w:rsidRPr="00F05407">
        <w:t>[Navn], [f.nr.], heretter kalt «</w:t>
      </w:r>
      <w:r w:rsidRPr="00F05407">
        <w:rPr>
          <w:b/>
          <w:bCs/>
        </w:rPr>
        <w:t>Boligbygger</w:t>
      </w:r>
      <w:r w:rsidRPr="00F05407">
        <w:t>»</w:t>
      </w:r>
    </w:p>
    <w:p w:rsidR="00F05407" w:rsidRPr="00F05407" w:rsidRDefault="00F05407" w:rsidP="00F05407">
      <w:r w:rsidRPr="00F05407">
        <w:t>og</w:t>
      </w:r>
    </w:p>
    <w:p w:rsidR="00F05407" w:rsidRPr="00F05407" w:rsidRDefault="00F05407" w:rsidP="00F05407">
      <w:r w:rsidRPr="00F05407">
        <w:t>Lebesby kommune, org nr. 940 400 392, heretter kalt «</w:t>
      </w:r>
      <w:r w:rsidRPr="00F05407">
        <w:rPr>
          <w:b/>
          <w:bCs/>
        </w:rPr>
        <w:t>Kommunen</w:t>
      </w:r>
      <w:r w:rsidRPr="00F05407">
        <w:t>»</w:t>
      </w:r>
    </w:p>
    <w:p w:rsidR="00F05407" w:rsidRPr="00F05407" w:rsidRDefault="00F05407" w:rsidP="00F05407">
      <w:pPr>
        <w:tabs>
          <w:tab w:val="num" w:pos="737"/>
        </w:tabs>
        <w:rPr>
          <w:b/>
          <w:bCs/>
        </w:rPr>
      </w:pPr>
      <w:proofErr w:type="spellStart"/>
      <w:r w:rsidRPr="00F05407">
        <w:rPr>
          <w:b/>
          <w:bCs/>
        </w:rPr>
        <w:t>Bakgrunn</w:t>
      </w:r>
      <w:proofErr w:type="spellEnd"/>
      <w:r w:rsidRPr="00F05407">
        <w:rPr>
          <w:b/>
          <w:bCs/>
        </w:rPr>
        <w:t xml:space="preserve"> for avtalen</w:t>
      </w:r>
    </w:p>
    <w:p w:rsidR="00F05407" w:rsidRPr="00F05407" w:rsidRDefault="00F05407" w:rsidP="00F05407">
      <w:r w:rsidRPr="00F05407">
        <w:t xml:space="preserve">Lebesby kommune ønsker å stimulere til økt boligbygging i kommunen gjennom å redusere den økonomiske risikoen for privatpersoner som ønsker å bygge bolig. Dette skal skje ved at kommunen og aktuelle boligbyggere inngår en avtale som på nærmere bestemte vilkår gir kommunen en rett og en plikt til å kjøpe boligen dersom boligen ved et eventuelt etterfølgende salg ikke blir solgt i markedet til en pris som dekker inn </w:t>
      </w:r>
      <w:proofErr w:type="spellStart"/>
      <w:r w:rsidRPr="00F05407">
        <w:t>byggekostnadene</w:t>
      </w:r>
      <w:proofErr w:type="spellEnd"/>
      <w:r w:rsidRPr="00F05407">
        <w:t xml:space="preserve">. Kommunens rett og plikt til å kjøpe boligen skal beløpsmessig være oppad begrenset til en sum tilsvarende boligbyggers restgjeld for </w:t>
      </w:r>
      <w:proofErr w:type="spellStart"/>
      <w:r w:rsidRPr="00F05407">
        <w:t>byggekostnadene</w:t>
      </w:r>
      <w:proofErr w:type="spellEnd"/>
      <w:r w:rsidRPr="00F05407">
        <w:t xml:space="preserve">. Nærmere forutsetninger og avtalevilkår følger av bestemmelsene nedenfor. </w:t>
      </w:r>
    </w:p>
    <w:p w:rsidR="00F05407" w:rsidRPr="00F05407" w:rsidRDefault="00F05407" w:rsidP="00F05407">
      <w:r w:rsidRPr="00F05407">
        <w:t xml:space="preserve">Boligbygger har blitt part i avtalen etter å ha søkt på utlysning fra kommunen, og blitt godkjent som boligbygger i henhold til kommunens retningslinjer for utvelgelsen.  </w:t>
      </w:r>
    </w:p>
    <w:p w:rsidR="00F05407" w:rsidRPr="00F05407" w:rsidRDefault="00F05407" w:rsidP="00F05407">
      <w:pPr>
        <w:tabs>
          <w:tab w:val="num" w:pos="737"/>
        </w:tabs>
        <w:rPr>
          <w:b/>
          <w:bCs/>
        </w:rPr>
      </w:pPr>
      <w:r w:rsidRPr="00F05407">
        <w:rPr>
          <w:b/>
          <w:bCs/>
        </w:rPr>
        <w:t>Definisjoner</w:t>
      </w:r>
    </w:p>
    <w:p w:rsidR="00F05407" w:rsidRPr="00F05407" w:rsidRDefault="00F05407" w:rsidP="00F05407">
      <w:r w:rsidRPr="00F05407">
        <w:t>Begrepene nevnt nedenfor skal i denne avtalen forstås som følger:</w:t>
      </w:r>
    </w:p>
    <w:p w:rsidR="00F05407" w:rsidRPr="00F05407" w:rsidRDefault="00F05407" w:rsidP="00F05407">
      <w:r w:rsidRPr="00F05407">
        <w:rPr>
          <w:u w:val="single"/>
        </w:rPr>
        <w:t>Boligbygger:</w:t>
      </w:r>
      <w:r w:rsidRPr="00F05407">
        <w:t xml:space="preserve"> privatperson(er) som er personlig økonomisk ansvarlig for oppføring av bolig omfattet av denne avtalen.</w:t>
      </w:r>
    </w:p>
    <w:p w:rsidR="00F05407" w:rsidRPr="00F05407" w:rsidRDefault="00F05407" w:rsidP="00F05407">
      <w:proofErr w:type="spellStart"/>
      <w:r w:rsidRPr="00F05407">
        <w:rPr>
          <w:u w:val="single"/>
        </w:rPr>
        <w:t>Byggekostnad</w:t>
      </w:r>
      <w:proofErr w:type="spellEnd"/>
      <w:r w:rsidRPr="00F05407">
        <w:rPr>
          <w:u w:val="single"/>
        </w:rPr>
        <w:t>:</w:t>
      </w:r>
      <w:r w:rsidRPr="00F05407">
        <w:t xml:space="preserve"> betalte og dokumenterte kostnader forbundet med bygging og oppføring av boligen. Kostnader til kjøp eller feste av tomt medregnes ikke. </w:t>
      </w:r>
    </w:p>
    <w:p w:rsidR="00F05407" w:rsidRPr="00F05407" w:rsidRDefault="00F05407" w:rsidP="00F05407">
      <w:r w:rsidRPr="00F05407">
        <w:rPr>
          <w:u w:val="single"/>
        </w:rPr>
        <w:t>Privatperson:</w:t>
      </w:r>
      <w:r w:rsidRPr="00F05407">
        <w:t xml:space="preserve"> person som opptrer i eget navn og for egen regning, og ikke som et ledd i næringsvirksomhet.</w:t>
      </w:r>
    </w:p>
    <w:p w:rsidR="00F05407" w:rsidRPr="00F05407" w:rsidRDefault="00F05407" w:rsidP="00F05407">
      <w:r w:rsidRPr="00F05407">
        <w:rPr>
          <w:u w:val="single"/>
        </w:rPr>
        <w:t>Restgjeld:</w:t>
      </w:r>
      <w:r w:rsidRPr="00F05407">
        <w:t xml:space="preserve"> opprinnelig lånebeløp for boligens </w:t>
      </w:r>
      <w:proofErr w:type="spellStart"/>
      <w:r w:rsidRPr="00F05407">
        <w:t>byggekostnader</w:t>
      </w:r>
      <w:proofErr w:type="spellEnd"/>
      <w:r w:rsidRPr="00F05407">
        <w:t xml:space="preserve">, minus foretatte innbetalinger av avdrag og renter. Restgjeld skal utelukkende beregnes ut fra opprinnelig lånebeløp for boligens </w:t>
      </w:r>
      <w:proofErr w:type="spellStart"/>
      <w:r w:rsidRPr="00F05407">
        <w:t>byggekostnader</w:t>
      </w:r>
      <w:proofErr w:type="spellEnd"/>
      <w:r w:rsidRPr="00F05407">
        <w:t xml:space="preserve">, og avgrenses mot eventuelle etterfølgende lån med sikkerhet i boligen. Dersom boligbygger har tatt opp etterfølgende lån med sikkerhet i boligen, skal samtlige innbetalinger anses for å gå til fradrag i opprinnelig lånebeløp helt frem til opprinnelige lånebeløp er nedbetalt. </w:t>
      </w:r>
    </w:p>
    <w:p w:rsidR="00F05407" w:rsidRPr="00F05407" w:rsidRDefault="00F05407" w:rsidP="00F05407">
      <w:pPr>
        <w:tabs>
          <w:tab w:val="num" w:pos="737"/>
        </w:tabs>
        <w:rPr>
          <w:b/>
          <w:bCs/>
        </w:rPr>
      </w:pPr>
      <w:r w:rsidRPr="00F05407">
        <w:rPr>
          <w:b/>
          <w:bCs/>
        </w:rPr>
        <w:t>Partenes plikter</w:t>
      </w:r>
    </w:p>
    <w:p w:rsidR="00F05407" w:rsidRPr="00F05407" w:rsidRDefault="00F05407" w:rsidP="00F05407">
      <w:pPr>
        <w:tabs>
          <w:tab w:val="num" w:pos="737"/>
        </w:tabs>
        <w:rPr>
          <w:b/>
          <w:iCs/>
        </w:rPr>
      </w:pPr>
      <w:r w:rsidRPr="00F05407">
        <w:rPr>
          <w:b/>
          <w:iCs/>
        </w:rPr>
        <w:t>Boligbyggers plikter</w:t>
      </w:r>
    </w:p>
    <w:p w:rsidR="00F05407" w:rsidRPr="00F05407" w:rsidRDefault="00F05407" w:rsidP="00F05407">
      <w:r w:rsidRPr="00F05407">
        <w:t xml:space="preserve">Boligbygger forplikter seg til følgende: </w:t>
      </w:r>
    </w:p>
    <w:p w:rsidR="00F05407" w:rsidRPr="00F05407" w:rsidRDefault="00F05407" w:rsidP="00F05407">
      <w:r w:rsidRPr="00F05407">
        <w:t xml:space="preserve">Boligen skal bygges til privat bruk. Formålet med byggingen skal være å sikre Boligbygger et sted å bo. Byggingen skal skje uten gevinstformål. Byggingen skal ikke skje som ledd i næringsvirksomhet. Utleie av boligen er etter nærmere avtale med Kommunen tillatt. </w:t>
      </w:r>
    </w:p>
    <w:p w:rsidR="00F05407" w:rsidRPr="00F05407" w:rsidRDefault="00F05407" w:rsidP="00F05407">
      <w:r w:rsidRPr="00F05407">
        <w:t xml:space="preserve">Boligen skal bygges på tomt i Kommunen som er regulert til bolig, eller som er velegnet til utleie. </w:t>
      </w:r>
    </w:p>
    <w:p w:rsidR="00F05407" w:rsidRPr="00F05407" w:rsidRDefault="00F05407" w:rsidP="00F05407">
      <w:proofErr w:type="spellStart"/>
      <w:r w:rsidRPr="00F05407">
        <w:lastRenderedPageBreak/>
        <w:t>Byggekostnadene</w:t>
      </w:r>
      <w:proofErr w:type="spellEnd"/>
      <w:r w:rsidRPr="00F05407">
        <w:t xml:space="preserve"> som denne avtalen gjelder, skal være maksimalt 5 millioner kroner. Boligbygger står fritt til å bygge for mer enn 5 millioner kroner, men overskytende beløp er ikke dekket av </w:t>
      </w:r>
      <w:r>
        <w:t>denne avtalen</w:t>
      </w:r>
      <w:r w:rsidRPr="00F05407">
        <w:t xml:space="preserve">. Dersom Boligbygger bygger for mer enn 5 millioner kroner, skal samtlige innbetalinger av avdrag og renter anses for å gå til fradrag i de 5 millionene som </w:t>
      </w:r>
      <w:r>
        <w:t>denne avtalen</w:t>
      </w:r>
      <w:r w:rsidRPr="00F05407">
        <w:t xml:space="preserve"> gjelder, helt frem til dette beløpet er nedbetalt.  </w:t>
      </w:r>
    </w:p>
    <w:p w:rsidR="00F05407" w:rsidRPr="00F05407" w:rsidRDefault="00F05407" w:rsidP="00F05407">
      <w:r w:rsidRPr="00F05407">
        <w:t>Boligbygger skal oppfylle Husbankens krav til egenkapital og betjeningsevne på lån.</w:t>
      </w:r>
    </w:p>
    <w:p w:rsidR="00F05407" w:rsidRPr="00F05407" w:rsidRDefault="00F05407" w:rsidP="00F05407">
      <w:r w:rsidRPr="00F05407">
        <w:t xml:space="preserve">Boliglånet skal ha en nedbetalingstid på maksimalt 30 år. </w:t>
      </w:r>
    </w:p>
    <w:p w:rsidR="00F05407" w:rsidRPr="00F05407" w:rsidRDefault="00F05407" w:rsidP="00F05407">
      <w:r w:rsidRPr="00F05407">
        <w:t>Boligbygger skal betale avdrag på boliglånet fra og med 2 år etter</w:t>
      </w:r>
      <w:r w:rsidR="00FF667C">
        <w:t xml:space="preserve"> dato for utbetaling av lånet. Det skal betales like store avdrag hver måned, tilsvarende lånebeløp/30/12.</w:t>
      </w:r>
    </w:p>
    <w:p w:rsidR="00F05407" w:rsidRPr="00F05407" w:rsidRDefault="00F05407" w:rsidP="00F05407">
      <w:r w:rsidRPr="00F05407">
        <w:t xml:space="preserve">Dersom Boligbygger ikke betaler avtalte avdrag på boliglånet, er Boligbygger forpliktet til å flytte ut av boligen etter 3 forfalte avdrag. Misligholdte avdrag kan legges sammen, selv om Boligbygger betaler avtalte avdrag på boliglånet i mellomtiden. </w:t>
      </w:r>
    </w:p>
    <w:p w:rsidR="00F05407" w:rsidRPr="00F05407" w:rsidRDefault="00F05407" w:rsidP="00F05407">
      <w:r w:rsidRPr="00F05407">
        <w:t>Dersom Kommunen i medhold av bestemmelsen over pålegger Boligbygger å flytte ut, skal boligen legges ut for salg i markedet. Dersom høyeste bud i markedet ikke overstiger boligens Restgjeld, har Boligbygger en plikt til å akseptere at boligen overdras til Kommunen til en pris tilsvarende boligens Restgjeld.</w:t>
      </w:r>
    </w:p>
    <w:p w:rsidR="00F05407" w:rsidRPr="00F05407" w:rsidRDefault="00F05407" w:rsidP="00F05407">
      <w:pPr>
        <w:tabs>
          <w:tab w:val="num" w:pos="737"/>
        </w:tabs>
        <w:rPr>
          <w:b/>
          <w:iCs/>
        </w:rPr>
      </w:pPr>
      <w:r w:rsidRPr="00F05407">
        <w:rPr>
          <w:b/>
          <w:iCs/>
        </w:rPr>
        <w:t>Kommunens plikter</w:t>
      </w:r>
    </w:p>
    <w:p w:rsidR="00F05407" w:rsidRPr="00F05407" w:rsidRDefault="00F05407" w:rsidP="00F05407">
      <w:r w:rsidRPr="00F05407">
        <w:t>Kommunen forplikter seg til følgende:</w:t>
      </w:r>
    </w:p>
    <w:p w:rsidR="00F05407" w:rsidRPr="00F05407" w:rsidRDefault="00F05407" w:rsidP="00F05407">
      <w:r w:rsidRPr="00F05407">
        <w:t>Til og med 20 år etter at boligen er ferdigstilt, har Kommunen på nærmere bestemte vilkår en plikt til å kjøpe boligen til en sum tilsvarende boligens Restgjeld.</w:t>
      </w:r>
    </w:p>
    <w:p w:rsidR="00F05407" w:rsidRPr="00F05407" w:rsidRDefault="00F05407" w:rsidP="00F05407">
      <w:r w:rsidRPr="00F05407">
        <w:t xml:space="preserve">Plikten er betinget av at Boligbygger har forsøkt å oppnå salg i det ordinære markedet, uten at Boligbygger har mottatt et bud som overstiger boligens Restgjeld. </w:t>
      </w:r>
    </w:p>
    <w:p w:rsidR="00F05407" w:rsidRPr="00F05407" w:rsidRDefault="00F05407" w:rsidP="00F05407">
      <w:pPr>
        <w:tabs>
          <w:tab w:val="num" w:pos="737"/>
        </w:tabs>
        <w:rPr>
          <w:b/>
          <w:bCs/>
        </w:rPr>
      </w:pPr>
      <w:r w:rsidRPr="00F05407">
        <w:rPr>
          <w:b/>
          <w:bCs/>
        </w:rPr>
        <w:t>Nærmere om oppgjøret ved overdragelse av boligen</w:t>
      </w:r>
    </w:p>
    <w:p w:rsidR="00F05407" w:rsidRPr="00F05407" w:rsidRDefault="00F05407" w:rsidP="00F05407">
      <w:pPr>
        <w:tabs>
          <w:tab w:val="num" w:pos="737"/>
        </w:tabs>
        <w:rPr>
          <w:b/>
          <w:iCs/>
        </w:rPr>
      </w:pPr>
      <w:r w:rsidRPr="00F05407">
        <w:rPr>
          <w:b/>
          <w:iCs/>
        </w:rPr>
        <w:t>Oppgjørsform</w:t>
      </w:r>
    </w:p>
    <w:p w:rsidR="00F05407" w:rsidRPr="00F05407" w:rsidRDefault="00F05407" w:rsidP="00F05407">
      <w:r w:rsidRPr="00F05407">
        <w:t>Dersom vilkårene for at Kommunen skal overta boligen er oppfylt, skal oppgjør skje etter følgende fremgangsmåte:</w:t>
      </w:r>
    </w:p>
    <w:p w:rsidR="00F05407" w:rsidRPr="00F05407" w:rsidRDefault="00F05407" w:rsidP="00F05407">
      <w:r w:rsidRPr="00F05407">
        <w:t>Enten:</w:t>
      </w:r>
    </w:p>
    <w:p w:rsidR="00F05407" w:rsidRPr="00F05407" w:rsidRDefault="00F05407" w:rsidP="00F05407">
      <w:r w:rsidRPr="00F05407">
        <w:t xml:space="preserve">Kommunen overtar Boligbyggers aktuelle boliglånsforpliktelser, samtidig som Boligbygger </w:t>
      </w:r>
      <w:proofErr w:type="spellStart"/>
      <w:r w:rsidRPr="00F05407">
        <w:t>overskjøter</w:t>
      </w:r>
      <w:proofErr w:type="spellEnd"/>
      <w:r w:rsidRPr="00F05407">
        <w:t xml:space="preserve"> boligen vederlagsfritt til kommunen.</w:t>
      </w:r>
    </w:p>
    <w:p w:rsidR="00F05407" w:rsidRPr="00F05407" w:rsidRDefault="00F05407" w:rsidP="00F05407">
      <w:r w:rsidRPr="00F05407">
        <w:t>Eller:</w:t>
      </w:r>
    </w:p>
    <w:p w:rsidR="00F05407" w:rsidRPr="00F05407" w:rsidRDefault="00F05407" w:rsidP="00F05407">
      <w:r w:rsidRPr="00F05407">
        <w:t xml:space="preserve">Boligbygger innfrir restgjelden, umiddelbart etterfulgt av at Kommunen overfører en sum til Boligbygger tilsvarende Boligbyggers siste innfrielse av restgjeld, mot at Boligbygger samtidig </w:t>
      </w:r>
      <w:proofErr w:type="spellStart"/>
      <w:r w:rsidRPr="00F05407">
        <w:t>overskjøter</w:t>
      </w:r>
      <w:proofErr w:type="spellEnd"/>
      <w:r w:rsidRPr="00F05407">
        <w:t xml:space="preserve"> boligen til Kommunen.</w:t>
      </w:r>
    </w:p>
    <w:p w:rsidR="00F05407" w:rsidRPr="00F05407" w:rsidRDefault="00F05407" w:rsidP="00F05407">
      <w:r w:rsidRPr="00F05407">
        <w:t xml:space="preserve">Boligbygger kan velge hvilket alternativ som skal komme til anvendelse. </w:t>
      </w:r>
    </w:p>
    <w:p w:rsidR="00F05407" w:rsidRPr="00F05407" w:rsidRDefault="00F05407" w:rsidP="00F05407">
      <w:pPr>
        <w:tabs>
          <w:tab w:val="num" w:pos="737"/>
        </w:tabs>
        <w:rPr>
          <w:b/>
          <w:iCs/>
        </w:rPr>
      </w:pPr>
      <w:r w:rsidRPr="00F05407">
        <w:rPr>
          <w:b/>
          <w:iCs/>
        </w:rPr>
        <w:t>Varsling og tidsfrister</w:t>
      </w:r>
    </w:p>
    <w:p w:rsidR="00F05407" w:rsidRPr="00F05407" w:rsidRDefault="00F05407" w:rsidP="00F05407">
      <w:r w:rsidRPr="00F05407">
        <w:t xml:space="preserve">Dersom Boligbygger ønsker å aktivere kommunens overtakelsesplikt, og vilkårene for det er oppfylt, skal Boligbygger varsle kommunen. </w:t>
      </w:r>
    </w:p>
    <w:p w:rsidR="00F05407" w:rsidRPr="00F05407" w:rsidRDefault="00F05407" w:rsidP="00F05407">
      <w:r w:rsidRPr="00F05407">
        <w:t xml:space="preserve">Varsling må skje senest 30 dager før overdragelsen skal finne sted. </w:t>
      </w:r>
    </w:p>
    <w:p w:rsidR="00F05407" w:rsidRPr="00F05407" w:rsidRDefault="00F05407" w:rsidP="00F05407">
      <w:r w:rsidRPr="00F05407">
        <w:t xml:space="preserve">Varsling skal skje ved at Boligbygger sender e-post til </w:t>
      </w:r>
      <w:hyperlink r:id="rId4" w:history="1">
        <w:r w:rsidRPr="00F05407">
          <w:rPr>
            <w:rStyle w:val="Hyperkobling"/>
          </w:rPr>
          <w:t>postmottak@lebesby.kommune.no</w:t>
        </w:r>
      </w:hyperlink>
      <w:r w:rsidRPr="00F05407">
        <w:t xml:space="preserve"> med dokumentasjon for at vilkårene for kommunens overtakelsesplikt er oppfylt, og angivelse av ønsket dato for overdragelse. </w:t>
      </w:r>
    </w:p>
    <w:p w:rsidR="00F05407" w:rsidRPr="00F05407" w:rsidRDefault="00F05407" w:rsidP="00F05407">
      <w:pPr>
        <w:tabs>
          <w:tab w:val="num" w:pos="737"/>
        </w:tabs>
        <w:rPr>
          <w:b/>
          <w:bCs/>
        </w:rPr>
      </w:pPr>
      <w:r w:rsidRPr="00F05407">
        <w:rPr>
          <w:b/>
          <w:bCs/>
        </w:rPr>
        <w:t>Tvister og verneting</w:t>
      </w:r>
    </w:p>
    <w:p w:rsidR="00F05407" w:rsidRPr="00F05407" w:rsidRDefault="00F05407" w:rsidP="00F05407">
      <w:r w:rsidRPr="00F05407">
        <w:t>Eventuelle uenigheter mellom Partene vedrørende forståelsen av denne avtalen skal søkes løst i minnelighet.</w:t>
      </w:r>
    </w:p>
    <w:p w:rsidR="00F05407" w:rsidRPr="00F05407" w:rsidRDefault="00F05407" w:rsidP="00F05407">
      <w:r w:rsidRPr="00F05407">
        <w:t xml:space="preserve">Verneting er Indre og Østre Finnmark tingrett. </w:t>
      </w:r>
    </w:p>
    <w:p w:rsidR="00F05407" w:rsidRPr="00F05407" w:rsidRDefault="00F05407" w:rsidP="00F05407">
      <w:pPr>
        <w:tabs>
          <w:tab w:val="num" w:pos="737"/>
        </w:tabs>
        <w:rPr>
          <w:b/>
          <w:bCs/>
        </w:rPr>
      </w:pPr>
      <w:r w:rsidRPr="00F05407">
        <w:rPr>
          <w:b/>
          <w:bCs/>
        </w:rPr>
        <w:t>Signatur</w:t>
      </w: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907"/>
        <w:gridCol w:w="4082"/>
      </w:tblGrid>
      <w:tr w:rsidR="00F05407" w:rsidRPr="00F05407" w:rsidTr="00F05407">
        <w:tc>
          <w:tcPr>
            <w:tcW w:w="2250" w:type="pct"/>
          </w:tcPr>
          <w:p w:rsidR="00F05407" w:rsidRPr="00F05407" w:rsidRDefault="00F05407" w:rsidP="00F05407">
            <w:pPr>
              <w:spacing w:after="160" w:line="259" w:lineRule="auto"/>
              <w:rPr>
                <w:b/>
                <w:bCs/>
              </w:rPr>
            </w:pPr>
          </w:p>
          <w:p w:rsidR="00F05407" w:rsidRPr="00F05407" w:rsidRDefault="00F05407" w:rsidP="00F05407">
            <w:pPr>
              <w:spacing w:after="160" w:line="259" w:lineRule="auto"/>
              <w:rPr>
                <w:b/>
                <w:bCs/>
              </w:rPr>
            </w:pPr>
          </w:p>
          <w:p w:rsidR="00F05407" w:rsidRPr="00F05407" w:rsidRDefault="00F05407" w:rsidP="00F05407">
            <w:pPr>
              <w:spacing w:after="160" w:line="259" w:lineRule="auto"/>
              <w:rPr>
                <w:b/>
                <w:bCs/>
              </w:rPr>
            </w:pPr>
          </w:p>
          <w:p w:rsidR="00F05407" w:rsidRPr="00F05407" w:rsidRDefault="00F05407" w:rsidP="00F0540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00" w:type="pct"/>
          </w:tcPr>
          <w:p w:rsidR="00F05407" w:rsidRPr="00F05407" w:rsidRDefault="00F05407" w:rsidP="00F05407">
            <w:pPr>
              <w:spacing w:after="160" w:line="259" w:lineRule="auto"/>
            </w:pPr>
          </w:p>
        </w:tc>
        <w:tc>
          <w:tcPr>
            <w:tcW w:w="2250" w:type="pct"/>
          </w:tcPr>
          <w:p w:rsidR="00F05407" w:rsidRPr="00F05407" w:rsidRDefault="00F05407" w:rsidP="00F05407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05407" w:rsidRPr="00F05407" w:rsidTr="00F05407"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407" w:rsidRPr="00F05407" w:rsidRDefault="00F05407" w:rsidP="00F05407">
            <w:pPr>
              <w:spacing w:after="160" w:line="259" w:lineRule="auto"/>
            </w:pPr>
            <w:r w:rsidRPr="00F05407">
              <w:t>For Boligbygger:</w:t>
            </w:r>
          </w:p>
        </w:tc>
        <w:tc>
          <w:tcPr>
            <w:tcW w:w="500" w:type="pct"/>
          </w:tcPr>
          <w:p w:rsidR="00F05407" w:rsidRPr="00F05407" w:rsidRDefault="00F05407" w:rsidP="00F05407">
            <w:pPr>
              <w:spacing w:after="160" w:line="259" w:lineRule="auto"/>
            </w:pP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407" w:rsidRPr="00F05407" w:rsidRDefault="00F05407" w:rsidP="00F05407">
            <w:pPr>
              <w:spacing w:after="160" w:line="259" w:lineRule="auto"/>
            </w:pPr>
            <w:r w:rsidRPr="00F05407">
              <w:t>For Kommunen:</w:t>
            </w:r>
          </w:p>
          <w:p w:rsidR="00F05407" w:rsidRPr="00F05407" w:rsidRDefault="00F05407" w:rsidP="00F05407">
            <w:pPr>
              <w:spacing w:after="160" w:line="259" w:lineRule="auto"/>
            </w:pPr>
          </w:p>
        </w:tc>
      </w:tr>
      <w:tr w:rsidR="00F05407" w:rsidRPr="00F05407" w:rsidTr="00F05407">
        <w:tc>
          <w:tcPr>
            <w:tcW w:w="2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407" w:rsidRPr="00F05407" w:rsidRDefault="00F05407" w:rsidP="00F05407">
            <w:pPr>
              <w:spacing w:after="160" w:line="259" w:lineRule="auto"/>
            </w:pPr>
            <w:r w:rsidRPr="00F05407">
              <w:t>Navn:</w:t>
            </w:r>
          </w:p>
        </w:tc>
        <w:tc>
          <w:tcPr>
            <w:tcW w:w="500" w:type="pct"/>
          </w:tcPr>
          <w:p w:rsidR="00F05407" w:rsidRPr="00F05407" w:rsidRDefault="00F05407" w:rsidP="00F05407">
            <w:pPr>
              <w:spacing w:after="160" w:line="259" w:lineRule="auto"/>
            </w:pP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407" w:rsidRPr="00F05407" w:rsidRDefault="00F05407" w:rsidP="00F05407">
            <w:pPr>
              <w:spacing w:after="160" w:line="259" w:lineRule="auto"/>
            </w:pPr>
            <w:r w:rsidRPr="00F05407">
              <w:t>Navn:</w:t>
            </w:r>
          </w:p>
        </w:tc>
      </w:tr>
      <w:tr w:rsidR="00F05407" w:rsidRPr="00F05407" w:rsidTr="00F05407">
        <w:tc>
          <w:tcPr>
            <w:tcW w:w="2250" w:type="pct"/>
            <w:hideMark/>
          </w:tcPr>
          <w:p w:rsidR="00F05407" w:rsidRPr="00F05407" w:rsidRDefault="00F05407" w:rsidP="00F05407">
            <w:pPr>
              <w:spacing w:after="160" w:line="259" w:lineRule="auto"/>
            </w:pPr>
            <w:r w:rsidRPr="00F05407">
              <w:t>Stilling:</w:t>
            </w:r>
          </w:p>
        </w:tc>
        <w:tc>
          <w:tcPr>
            <w:tcW w:w="500" w:type="pct"/>
          </w:tcPr>
          <w:p w:rsidR="00F05407" w:rsidRPr="00F05407" w:rsidRDefault="00F05407" w:rsidP="00F05407">
            <w:pPr>
              <w:spacing w:after="160" w:line="259" w:lineRule="auto"/>
            </w:pPr>
          </w:p>
        </w:tc>
        <w:tc>
          <w:tcPr>
            <w:tcW w:w="2250" w:type="pct"/>
            <w:hideMark/>
          </w:tcPr>
          <w:p w:rsidR="00F05407" w:rsidRPr="00F05407" w:rsidRDefault="00F05407" w:rsidP="00F05407">
            <w:pPr>
              <w:spacing w:after="160" w:line="259" w:lineRule="auto"/>
            </w:pPr>
            <w:r w:rsidRPr="00F05407">
              <w:t>Stilling:</w:t>
            </w:r>
          </w:p>
        </w:tc>
      </w:tr>
      <w:tr w:rsidR="00F05407" w:rsidRPr="00F05407" w:rsidTr="00F05407">
        <w:tc>
          <w:tcPr>
            <w:tcW w:w="2250" w:type="pct"/>
            <w:hideMark/>
          </w:tcPr>
          <w:p w:rsidR="00F05407" w:rsidRPr="00F05407" w:rsidRDefault="00F05407" w:rsidP="00F05407">
            <w:pPr>
              <w:spacing w:after="160" w:line="259" w:lineRule="auto"/>
            </w:pPr>
            <w:r w:rsidRPr="00F05407">
              <w:t>Dato:</w:t>
            </w:r>
          </w:p>
        </w:tc>
        <w:tc>
          <w:tcPr>
            <w:tcW w:w="500" w:type="pct"/>
          </w:tcPr>
          <w:p w:rsidR="00F05407" w:rsidRPr="00F05407" w:rsidRDefault="00F05407" w:rsidP="00F05407">
            <w:pPr>
              <w:spacing w:after="160" w:line="259" w:lineRule="auto"/>
            </w:pPr>
          </w:p>
        </w:tc>
        <w:tc>
          <w:tcPr>
            <w:tcW w:w="2250" w:type="pct"/>
            <w:hideMark/>
          </w:tcPr>
          <w:p w:rsidR="00F05407" w:rsidRPr="00F05407" w:rsidRDefault="00F05407" w:rsidP="00F05407">
            <w:pPr>
              <w:spacing w:after="160" w:line="259" w:lineRule="auto"/>
            </w:pPr>
            <w:r w:rsidRPr="00F05407">
              <w:t>Dato:</w:t>
            </w:r>
          </w:p>
        </w:tc>
      </w:tr>
    </w:tbl>
    <w:p w:rsidR="00F05407" w:rsidRPr="00F05407" w:rsidRDefault="00F05407" w:rsidP="00F05407"/>
    <w:p w:rsidR="00EC0A7D" w:rsidRDefault="00EC0A7D"/>
    <w:sectPr w:rsidR="00EC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B4"/>
    <w:rsid w:val="00A13069"/>
    <w:rsid w:val="00D434B4"/>
    <w:rsid w:val="00EC0A7D"/>
    <w:rsid w:val="00F05407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CDE"/>
  <w15:chartTrackingRefBased/>
  <w15:docId w15:val="{FC19E0A6-50D5-4C0A-817D-E1AE9171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0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lebesb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Larssen</dc:creator>
  <cp:keywords/>
  <dc:description/>
  <cp:lastModifiedBy>Harald Larssen</cp:lastModifiedBy>
  <cp:revision>4</cp:revision>
  <dcterms:created xsi:type="dcterms:W3CDTF">2022-01-12T08:35:00Z</dcterms:created>
  <dcterms:modified xsi:type="dcterms:W3CDTF">2022-01-14T07:59:00Z</dcterms:modified>
</cp:coreProperties>
</file>